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BC96F" w14:textId="77777777" w:rsidR="002945AC" w:rsidRPr="002945AC" w:rsidRDefault="002945AC" w:rsidP="002945AC">
      <w:pPr>
        <w:suppressAutoHyphens w:val="0"/>
        <w:spacing w:after="160" w:line="278" w:lineRule="auto"/>
        <w:jc w:val="center"/>
        <w:rPr>
          <w:rFonts w:ascii="Arial" w:eastAsiaTheme="minorHAnsi" w:hAnsi="Arial" w:cs="Arial"/>
          <w:b/>
          <w:bCs/>
          <w:kern w:val="2"/>
          <w:sz w:val="28"/>
          <w:szCs w:val="28"/>
          <w14:ligatures w14:val="standardContextual"/>
        </w:rPr>
      </w:pPr>
      <w:bookmarkStart w:id="0" w:name="_Hlk182839591"/>
      <w:r w:rsidRPr="002945AC">
        <w:rPr>
          <w:rFonts w:ascii="Arial" w:eastAsiaTheme="minorHAnsi" w:hAnsi="Arial" w:cs="Arial"/>
          <w:b/>
          <w:bCs/>
          <w:kern w:val="2"/>
          <w:sz w:val="28"/>
          <w:szCs w:val="28"/>
          <w14:ligatures w14:val="standardContextual"/>
        </w:rPr>
        <w:t>#Wiemcorobić – rusza kampania społeczna poświęcona ochronie dzieci przed zagrożeniami online</w:t>
      </w:r>
    </w:p>
    <w:p w14:paraId="3E0B970B" w14:textId="70082566" w:rsidR="002945AC" w:rsidRPr="002945AC" w:rsidRDefault="002945AC" w:rsidP="002945AC">
      <w:pPr>
        <w:suppressAutoHyphens w:val="0"/>
        <w:spacing w:after="160" w:line="278" w:lineRule="auto"/>
        <w:jc w:val="both"/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</w:pPr>
      <w:r w:rsidRPr="002945AC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 xml:space="preserve">Towarzystwo Przyjaciół Dzieci rozpoczyna ogólnopolską kampanię #wiemcorobić, której celem jest zwiększenie świadomości na temat zagrożeń, takich jak </w:t>
      </w:r>
      <w:proofErr w:type="spellStart"/>
      <w:r w:rsidRPr="002945AC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>child</w:t>
      </w:r>
      <w:proofErr w:type="spellEnd"/>
      <w:r w:rsidRPr="002945AC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 xml:space="preserve"> grooming i</w:t>
      </w:r>
      <w:r w:rsidRPr="00A931AD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> </w:t>
      </w:r>
      <w:proofErr w:type="spellStart"/>
      <w:r w:rsidRPr="002945AC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>sextortion</w:t>
      </w:r>
      <w:proofErr w:type="spellEnd"/>
      <w:r w:rsidRPr="002945AC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>. Kampania obejmie działania edukacyjne i prewencyjne skierowane do dzieci, rodziców oraz nauczycieli i ma pomóc rozpoznawać i</w:t>
      </w:r>
      <w:r w:rsidR="00A931AD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> </w:t>
      </w:r>
      <w:r w:rsidRPr="002945AC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 xml:space="preserve">przeciwdziałać niebezpieczeństwom kryjącym się w </w:t>
      </w:r>
      <w:proofErr w:type="spellStart"/>
      <w:r w:rsidRPr="002945AC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>internecie</w:t>
      </w:r>
      <w:proofErr w:type="spellEnd"/>
      <w:r w:rsidRPr="002945AC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 xml:space="preserve">. Inicjatywa, realizowana dzięki wsparciu </w:t>
      </w:r>
      <w:proofErr w:type="spellStart"/>
      <w:r w:rsidRPr="002945AC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>Pepco</w:t>
      </w:r>
      <w:proofErr w:type="spellEnd"/>
      <w:r w:rsidRPr="002945AC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>, uzyskała patronat honorowy Ministra Sprawiedliwości, Rzecznika Praw Dziecka oraz Komendanta Głównego Policji, a w jej organizację zaangażowane jest szerokie grono specjalistów, w tym m.in.: sędzia, psychoterapeuta, psychiatra dziecięcy, psycholog, pedagog seksualny czy przedstawiciele policji.</w:t>
      </w:r>
    </w:p>
    <w:p w14:paraId="5DAE542A" w14:textId="77777777" w:rsidR="002945AC" w:rsidRPr="002945AC" w:rsidRDefault="002945AC" w:rsidP="002945AC">
      <w:pPr>
        <w:suppressAutoHyphens w:val="0"/>
        <w:spacing w:after="160" w:line="278" w:lineRule="auto"/>
        <w:jc w:val="both"/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</w:pPr>
      <w:r w:rsidRPr="002945AC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>#wiemcorobić: Jak zadbać o bezpieczeństwo dziecka w cyfrowym świecie?</w:t>
      </w:r>
    </w:p>
    <w:p w14:paraId="03DFC0EE" w14:textId="43A6A632" w:rsidR="002945AC" w:rsidRPr="002945AC" w:rsidRDefault="002945AC" w:rsidP="002945AC">
      <w:pPr>
        <w:suppressAutoHyphens w:val="0"/>
        <w:spacing w:after="160" w:line="278" w:lineRule="auto"/>
        <w:jc w:val="both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Kampania #wiemcorobić to szeroko zakrojona inicjatywa, której zadaniem jest zarówno </w:t>
      </w:r>
      <w:r w:rsidRPr="002945AC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>edukacja, jak i praktyczne wsparcie dzieci, rodziców oraz nauczycieli</w:t>
      </w: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w radzeniu sobie z</w:t>
      </w:r>
      <w:r w:rsidRPr="00A931A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 </w:t>
      </w: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zagrożeniami w</w:t>
      </w:r>
      <w:r w:rsidRPr="00A931A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 </w:t>
      </w:r>
      <w:proofErr w:type="spellStart"/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internecie</w:t>
      </w:r>
      <w:proofErr w:type="spellEnd"/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.</w:t>
      </w:r>
    </w:p>
    <w:p w14:paraId="39F90CA1" w14:textId="486B7095" w:rsidR="002945AC" w:rsidRPr="002945AC" w:rsidRDefault="002945AC" w:rsidP="002945AC">
      <w:pPr>
        <w:suppressAutoHyphens w:val="0"/>
        <w:spacing w:after="160" w:line="278" w:lineRule="auto"/>
        <w:jc w:val="both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„Naszym celem jest zwiększenie społecznej świadomości o zjawiskach takich jak </w:t>
      </w:r>
      <w:proofErr w:type="spellStart"/>
      <w:r w:rsidRPr="002945AC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>child</w:t>
      </w:r>
      <w:proofErr w:type="spellEnd"/>
      <w:r w:rsidRPr="002945AC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 xml:space="preserve"> grooming i </w:t>
      </w:r>
      <w:proofErr w:type="spellStart"/>
      <w:r w:rsidRPr="002945AC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>sextortion</w:t>
      </w:r>
      <w:proofErr w:type="spellEnd"/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oraz wykształcenie nawyków i reakcji pozwalających chronić się przed tymi niebezpieczeństwami. Zależy nam, aby każde dziecko, które doświadczyło przemocy online, zamiast odpowiadać sprawcy, czym prędzej zgłosiło zdarzenie</w:t>
      </w:r>
      <w:r w:rsidRPr="00A931A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</w:t>
      </w: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właściwym instytucjom</w:t>
      </w:r>
      <w:r w:rsidRPr="00A931A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</w:t>
      </w: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oraz aby nie wstydziło się, ani nie obawiało</w:t>
      </w:r>
      <w:r w:rsidRPr="00A931A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</w:t>
      </w: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oceny czy odrzucenia ze strony dorosłych, którzy powinni je wspierać” – mówi</w:t>
      </w:r>
      <w:r w:rsidRPr="00A931A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</w:t>
      </w: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Marta Kwiatek z Towarzystwa Przyjaciół Dzieci, koordynatorka Telefonu i czatu zaufania dla dzieci i młodzieży 800119119.pl.</w:t>
      </w:r>
    </w:p>
    <w:p w14:paraId="22664FBC" w14:textId="1A55961C" w:rsidR="002945AC" w:rsidRPr="002945AC" w:rsidRDefault="002945AC" w:rsidP="002945AC">
      <w:pPr>
        <w:suppressAutoHyphens w:val="0"/>
        <w:spacing w:after="160" w:line="278" w:lineRule="auto"/>
        <w:jc w:val="both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Zmniejszenie stygmatyzacji ofiar oraz zachęcanie młodzieży do zgłaszania przestępstw to podstawowe założenia kampanii. Kampania skierowana jest również do dorosłych – rodziców i</w:t>
      </w:r>
      <w:r w:rsidRPr="00A931A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 </w:t>
      </w: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nauczycieli, którym dostarczy narzędzi, aby mogli skuteczniej wspierać dzieci i młodzież w</w:t>
      </w:r>
      <w:r w:rsidRPr="00A931A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 </w:t>
      </w: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obliczu zagrożeń.</w:t>
      </w:r>
    </w:p>
    <w:p w14:paraId="4A0DB191" w14:textId="0EF39508" w:rsidR="002945AC" w:rsidRPr="002945AC" w:rsidRDefault="002945AC" w:rsidP="002945AC">
      <w:pPr>
        <w:suppressAutoHyphens w:val="0"/>
        <w:spacing w:after="160" w:line="278" w:lineRule="auto"/>
        <w:jc w:val="both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„Na stronie internetowej wiemcorobic.p</w:t>
      </w:r>
      <w:r w:rsidRPr="00A931A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l </w:t>
      </w: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już można znaleźć spot wideo i materiały      informacyjne skierowane do dzieci i młodzieży,</w:t>
      </w:r>
      <w:r w:rsidRPr="00A931A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</w:t>
      </w: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dotyczące ścieżki postępowania w przypadku zetknięcia się z</w:t>
      </w:r>
      <w:r w:rsidRPr="00A931A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 </w:t>
      </w: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groomerem lub szantażystą. Dostępny jest też specjalny formularz, przez który można zgłosić takie przestępstwo oraz informacje, gdzie szukać</w:t>
      </w:r>
      <w:r w:rsidRPr="00A931A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</w:t>
      </w: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wsparcia psychologicznego. Nauczyciele zyskają wkrótce dostęp do scenariuszy lekcji przygotowanych przez ekspertów oraz do narzędzi, które pozwolą im rozpoznawać sygnały zagrożeń i reagować na potrzeby uczniów w trudnych sytuacjach. Zależy nam na zbudowaniu świadomości i zapewnieniu konkretnego wsparcia, aby wszyscy odbiorcy – dzieci, ich rodzice i nauczyciele – czuli, że wiedzą, co mogą zrobić w obliczu zetknięcia się z niebezpieczeństwem ze świata online” – dodaje</w:t>
      </w:r>
      <w:r w:rsidRPr="00A931A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</w:t>
      </w: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Marta Kwiatek.</w:t>
      </w:r>
    </w:p>
    <w:p w14:paraId="0A61F274" w14:textId="13A6A550" w:rsidR="002945AC" w:rsidRPr="002945AC" w:rsidRDefault="002945AC" w:rsidP="002945AC">
      <w:pPr>
        <w:suppressAutoHyphens w:val="0"/>
        <w:spacing w:after="160" w:line="278" w:lineRule="auto"/>
        <w:jc w:val="both"/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</w:pPr>
      <w:r w:rsidRPr="002945AC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 xml:space="preserve">Czym dokładnie jest </w:t>
      </w:r>
      <w:proofErr w:type="spellStart"/>
      <w:r w:rsidRPr="002945AC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>child</w:t>
      </w:r>
      <w:proofErr w:type="spellEnd"/>
      <w:r w:rsidRPr="002945AC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 xml:space="preserve"> grooming? </w:t>
      </w:r>
    </w:p>
    <w:p w14:paraId="6A9EF965" w14:textId="2AFA45C8" w:rsidR="002945AC" w:rsidRPr="002945AC" w:rsidRDefault="002945AC" w:rsidP="002945AC">
      <w:pPr>
        <w:suppressAutoHyphens w:val="0"/>
        <w:spacing w:after="160" w:line="278" w:lineRule="auto"/>
        <w:jc w:val="both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Child grooming to proces </w:t>
      </w:r>
      <w:r w:rsidRPr="002945AC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>psychologicznej manipulacji</w:t>
      </w: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, w której sprawcy powoli zdobywają zaufanie dziecka, by zbliżyć się do niego z zamiarem wykorzystania seksualnego. W ramach </w:t>
      </w: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lastRenderedPageBreak/>
        <w:t>kampanii powstały m.in. materiały edukacyjne, które pomogą dziecku nauczyć się rozpoznawać niepokojące sygnały, np.</w:t>
      </w:r>
      <w:r w:rsidRPr="00A931A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</w:t>
      </w: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gdy osoba po drugiej stronie ekranu: </w:t>
      </w:r>
    </w:p>
    <w:p w14:paraId="6FD28CCD" w14:textId="4E1D9978" w:rsidR="002945AC" w:rsidRPr="00A931AD" w:rsidRDefault="002945AC" w:rsidP="002945AC">
      <w:pPr>
        <w:pStyle w:val="Akapitzlist"/>
        <w:numPr>
          <w:ilvl w:val="0"/>
          <w:numId w:val="2"/>
        </w:numPr>
        <w:suppressAutoHyphens w:val="0"/>
        <w:spacing w:before="120" w:after="120" w:line="276" w:lineRule="auto"/>
        <w:ind w:left="714" w:hanging="357"/>
        <w:contextualSpacing w:val="0"/>
        <w:jc w:val="both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  <w:r w:rsidRPr="00A931A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izoluje dziecko od bliskich lub próbuje kreować z nim „sekrety”,</w:t>
      </w:r>
    </w:p>
    <w:p w14:paraId="7B709100" w14:textId="41AEE8FD" w:rsidR="002945AC" w:rsidRPr="00A931AD" w:rsidRDefault="002945AC" w:rsidP="002945AC">
      <w:pPr>
        <w:pStyle w:val="Akapitzlist"/>
        <w:numPr>
          <w:ilvl w:val="0"/>
          <w:numId w:val="2"/>
        </w:numPr>
        <w:suppressAutoHyphens w:val="0"/>
        <w:spacing w:before="120" w:after="120" w:line="276" w:lineRule="auto"/>
        <w:ind w:left="714" w:hanging="357"/>
        <w:contextualSpacing w:val="0"/>
        <w:jc w:val="both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  <w:r w:rsidRPr="00A931A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wykazuje podejrzanie dużą uwagę i sympatię wobec dziecka,</w:t>
      </w:r>
    </w:p>
    <w:p w14:paraId="2877A902" w14:textId="0004F1B1" w:rsidR="002945AC" w:rsidRPr="00A931AD" w:rsidRDefault="002945AC" w:rsidP="002945AC">
      <w:pPr>
        <w:pStyle w:val="Akapitzlist"/>
        <w:numPr>
          <w:ilvl w:val="0"/>
          <w:numId w:val="2"/>
        </w:numPr>
        <w:suppressAutoHyphens w:val="0"/>
        <w:spacing w:before="120" w:after="120" w:line="276" w:lineRule="auto"/>
        <w:ind w:left="714" w:hanging="357"/>
        <w:contextualSpacing w:val="0"/>
        <w:jc w:val="both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  <w:r w:rsidRPr="00A931A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prosi o nagie zdjęcia lub proponuje spotkanie w realu,</w:t>
      </w:r>
    </w:p>
    <w:p w14:paraId="119B7CE2" w14:textId="49FDB0B0" w:rsidR="002945AC" w:rsidRPr="00A931AD" w:rsidRDefault="002945AC" w:rsidP="002945AC">
      <w:pPr>
        <w:pStyle w:val="Akapitzlist"/>
        <w:numPr>
          <w:ilvl w:val="0"/>
          <w:numId w:val="2"/>
        </w:numPr>
        <w:suppressAutoHyphens w:val="0"/>
        <w:spacing w:before="120" w:after="120" w:line="276" w:lineRule="auto"/>
        <w:ind w:left="714" w:hanging="357"/>
        <w:contextualSpacing w:val="0"/>
        <w:jc w:val="both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  <w:r w:rsidRPr="00A931A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przesyła własne roznegliżowane zdjęcia lub inne materiały pornograficzne.</w:t>
      </w:r>
    </w:p>
    <w:p w14:paraId="1512A4B3" w14:textId="77777777" w:rsidR="002945AC" w:rsidRPr="002945AC" w:rsidRDefault="002945AC" w:rsidP="002945AC">
      <w:pPr>
        <w:suppressAutoHyphens w:val="0"/>
        <w:spacing w:after="160" w:line="278" w:lineRule="auto"/>
        <w:jc w:val="both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Ekspertka kampanii, psychoterapeutka Julia Norman, podkreśla: „Nie wszystkie dzieci potrafią wyczuć, kiedy przekraczane są ich granice, wiele z nich ma też trudności z asertywną obroną swoich granic. Grooming to proces subtelny, jednocześnie bardzo niebezpieczny, dlatego tak ważne jest, by młodzi ludzie wiedzieli, jak się przed nim chronić i aby nie bali się zgłaszać swoich wątpliwości”.</w:t>
      </w:r>
    </w:p>
    <w:p w14:paraId="07451C28" w14:textId="77777777" w:rsidR="002945AC" w:rsidRPr="002945AC" w:rsidRDefault="002945AC" w:rsidP="002945AC">
      <w:pPr>
        <w:suppressAutoHyphens w:val="0"/>
        <w:spacing w:after="160" w:line="278" w:lineRule="auto"/>
        <w:jc w:val="both"/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</w:pPr>
      <w:proofErr w:type="spellStart"/>
      <w:r w:rsidRPr="002945AC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>Sextortion</w:t>
      </w:r>
      <w:proofErr w:type="spellEnd"/>
      <w:r w:rsidRPr="002945AC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 xml:space="preserve"> – wyrafinowany podstęp</w:t>
      </w:r>
    </w:p>
    <w:p w14:paraId="0155D5B2" w14:textId="4C8066E4" w:rsidR="002945AC" w:rsidRPr="002945AC" w:rsidRDefault="002945AC" w:rsidP="002945AC">
      <w:pPr>
        <w:suppressAutoHyphens w:val="0"/>
        <w:spacing w:after="160" w:line="278" w:lineRule="auto"/>
        <w:jc w:val="both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Drugim kluczowym zagadnieniem kampanii jest </w:t>
      </w:r>
      <w:proofErr w:type="spellStart"/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sextortion</w:t>
      </w:r>
      <w:proofErr w:type="spellEnd"/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– przestępstwo</w:t>
      </w:r>
      <w:r w:rsidRPr="00A931A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</w:t>
      </w: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polegające na szantażowaniu ofiary groźbą upublicznienia intymnych zdjęć lub filmów w celu wymuszenia korzyści finansowych. Sprawcy na ogół wykorzystują manipulację i podstęp, aby nakłonić swoje ofiary do udostępnienia kompromitujących materiałów.</w:t>
      </w:r>
    </w:p>
    <w:p w14:paraId="54F3B2C1" w14:textId="0DACE59B" w:rsidR="002945AC" w:rsidRPr="002945AC" w:rsidRDefault="002945AC" w:rsidP="002945AC">
      <w:pPr>
        <w:suppressAutoHyphens w:val="0"/>
        <w:spacing w:after="160" w:line="278" w:lineRule="auto"/>
        <w:jc w:val="both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„Dzieci często wchodzą w te relacje w poszukiwaniu akceptacji i bliskości, ale gdy sprawca zaczyna je szantażować, czują się winne i przestraszone. Ważne jest, by wiedziały, że mają prawo do wsparcia i że istnieją konkretne kroki, które mogą podjąć w celu interwencji. Interwencja to zbieranie dowodów, rozmowa z rodzicami, psychologiem szkolnym, telefonem zaufania lub zgłoszenie sprawy na policji” – mówi Magda Mroziewicz, psycholożka szkolna i</w:t>
      </w:r>
      <w:r w:rsidR="00A931A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 </w:t>
      </w: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konsultantka Telefonu i czatu zaufania dla dzieci i młodzieży 800119119.pl, jedna z ekspertek kampanii.</w:t>
      </w:r>
    </w:p>
    <w:p w14:paraId="241D6C95" w14:textId="5FB06EF4" w:rsidR="002945AC" w:rsidRPr="002945AC" w:rsidRDefault="002945AC" w:rsidP="002945AC">
      <w:pPr>
        <w:suppressAutoHyphens w:val="0"/>
        <w:spacing w:after="160" w:line="278" w:lineRule="auto"/>
        <w:jc w:val="both"/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</w:pPr>
      <w:r w:rsidRPr="002945AC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>Eksperci wspierają kampanię #wiemcorobić</w:t>
      </w:r>
    </w:p>
    <w:p w14:paraId="17DB6699" w14:textId="2815B503" w:rsidR="002945AC" w:rsidRPr="002945AC" w:rsidRDefault="002945AC" w:rsidP="002945AC">
      <w:pPr>
        <w:suppressAutoHyphens w:val="0"/>
        <w:spacing w:after="160" w:line="278" w:lineRule="auto"/>
        <w:jc w:val="both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Kampania #wiemcorobić realizowana jest przy wsparciu </w:t>
      </w:r>
      <w:r w:rsidRPr="002945AC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>szerokiego grona specjalistów</w:t>
      </w: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, w</w:t>
      </w:r>
      <w:r w:rsidR="00A931A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 </w:t>
      </w: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tym sędzi, psychoterapeuty, psychologa, pedagoga seksualnego, psychiatry dziecięcego oraz przedstawicieli policji. Eksperci zapewnili wsparcie merytoryczne, które umożliwiło stworzenie materiałów edukacyjnych odpowiadających na realne potrzeby dzieci, młodzieży i</w:t>
      </w:r>
      <w:r w:rsidR="00A931A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 </w:t>
      </w: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dorosłych w</w:t>
      </w:r>
      <w:r w:rsidRPr="00A931A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 </w:t>
      </w: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obszarze internetowych zagrożeń. Honorowy patronat nad kampanią objął </w:t>
      </w:r>
      <w:r w:rsidRPr="002945AC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>Minister Sprawiedliwości</w:t>
      </w: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, </w:t>
      </w:r>
      <w:r w:rsidRPr="002945AC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>Rzecznik Praw Dziecka</w:t>
      </w: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oraz </w:t>
      </w:r>
      <w:r w:rsidRPr="002945AC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>Komendant Główny Policji</w:t>
      </w: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, a</w:t>
      </w:r>
      <w:r w:rsidR="00A931A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 </w:t>
      </w: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realizacja projektu jest możliwa dzięki wsparciu firmy</w:t>
      </w:r>
      <w:r w:rsidRPr="002945AC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2945AC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>Pepco</w:t>
      </w:r>
      <w:proofErr w:type="spellEnd"/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.  </w:t>
      </w:r>
    </w:p>
    <w:p w14:paraId="56FBC696" w14:textId="74445BE1" w:rsidR="002945AC" w:rsidRPr="002945AC" w:rsidRDefault="002945AC" w:rsidP="002945AC">
      <w:pPr>
        <w:suppressAutoHyphens w:val="0"/>
        <w:spacing w:after="160" w:line="278" w:lineRule="auto"/>
        <w:jc w:val="both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„Cieszymy się, że możemy być częścią tak ważnej inicjatywy, która zwiększa bezpieczeństwo najmłodszych użytkowników </w:t>
      </w:r>
      <w:proofErr w:type="spellStart"/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internetu</w:t>
      </w:r>
      <w:proofErr w:type="spellEnd"/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i wspiera ich świadomy rozwój w cyfrowym świecie. Jako firma od lat działająca na rzecz dobrostanu rodzin i dzieci, wierzymy, że edukacja o</w:t>
      </w:r>
      <w:r w:rsidR="00A931A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 </w:t>
      </w: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zagrożeniach internetowych oraz dostarczanie konkretnych narzędzi ochrony są niezbędne w obliczu wyzwań, które stawia nam dzisiejsza rzeczywistość. Dlatego z dumą wspieramy tę kampanię, aby najmłodsi mogli korzystać z zasobów </w:t>
      </w:r>
      <w:proofErr w:type="spellStart"/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internetu</w:t>
      </w:r>
      <w:proofErr w:type="spellEnd"/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w sposób bezpieczny i</w:t>
      </w:r>
      <w:r w:rsidR="00A931A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 </w:t>
      </w: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świadomy” – mówi Kasia Wilczewska, </w:t>
      </w:r>
      <w:proofErr w:type="spellStart"/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Head</w:t>
      </w:r>
      <w:proofErr w:type="spellEnd"/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of </w:t>
      </w:r>
      <w:proofErr w:type="spellStart"/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Corporate</w:t>
      </w:r>
      <w:proofErr w:type="spellEnd"/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Communication</w:t>
      </w:r>
      <w:proofErr w:type="spellEnd"/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Pepco</w:t>
      </w:r>
      <w:proofErr w:type="spellEnd"/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.</w:t>
      </w:r>
    </w:p>
    <w:p w14:paraId="13FE3B84" w14:textId="77777777" w:rsidR="002945AC" w:rsidRPr="002945AC" w:rsidRDefault="002945AC" w:rsidP="002945AC">
      <w:pPr>
        <w:suppressAutoHyphens w:val="0"/>
        <w:spacing w:after="160" w:line="278" w:lineRule="auto"/>
        <w:jc w:val="both"/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</w:pPr>
      <w:r w:rsidRPr="002945AC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lastRenderedPageBreak/>
        <w:t>Towarzystwo Przyjaciół Dzieci i materiały przygotowane w ramach kampanii</w:t>
      </w:r>
    </w:p>
    <w:p w14:paraId="1B3DF452" w14:textId="6F1130E5" w:rsidR="002945AC" w:rsidRPr="002945AC" w:rsidRDefault="002945AC" w:rsidP="002945AC">
      <w:pPr>
        <w:suppressAutoHyphens w:val="0"/>
        <w:spacing w:after="160" w:line="278" w:lineRule="auto"/>
        <w:jc w:val="both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Towarzystwo Przyjaciół Dzieci, organizacja non-profit działająca od 1919</w:t>
      </w:r>
      <w:r w:rsidRPr="00A931A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</w:t>
      </w: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roku, od lat angażuje się w działania na rzecz bezpieczeństwa dzieci i młodzieży, promując wartościowe treści edukacyjne oraz wspierające rozwój młodego pokolenia choćby przez takie programy jak „</w:t>
      </w:r>
      <w:proofErr w:type="spellStart"/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Cyfrolatki</w:t>
      </w:r>
      <w:proofErr w:type="spellEnd"/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”, realizowany również dzięki wsparciu firmy </w:t>
      </w:r>
      <w:proofErr w:type="spellStart"/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Pepco</w:t>
      </w:r>
      <w:proofErr w:type="spellEnd"/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.      </w:t>
      </w:r>
    </w:p>
    <w:p w14:paraId="15D185E6" w14:textId="1BFE8B6E" w:rsidR="002945AC" w:rsidRPr="00A931AD" w:rsidRDefault="002945AC" w:rsidP="002945AC">
      <w:pPr>
        <w:suppressAutoHyphens w:val="0"/>
        <w:spacing w:after="160" w:line="278" w:lineRule="auto"/>
        <w:jc w:val="both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W ramach kolejnego etapu kampanii #wiemcorobić zostaną udostępnione dodatkowe materiały skierowane do nauczycieli, w tym scenariusze lekcji</w:t>
      </w:r>
      <w:r w:rsidRPr="00A931A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</w:t>
      </w:r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i film edukacyjny. Zainteresowani będą mieli okazję również wziąć udział w </w:t>
      </w:r>
      <w:proofErr w:type="spellStart"/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webinarze</w:t>
      </w:r>
      <w:proofErr w:type="spellEnd"/>
      <w:r w:rsidRPr="002945AC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. Informacje na ten temat będą udostępniane na </w:t>
      </w:r>
      <w:hyperlink r:id="rId7" w:history="1">
        <w:r w:rsidRPr="00A931AD">
          <w:rPr>
            <w:rStyle w:val="Hipercze"/>
            <w:rFonts w:ascii="Arial" w:eastAsia="Arial" w:hAnsi="Arial" w:cs="Arial"/>
            <w:sz w:val="22"/>
            <w:szCs w:val="22"/>
          </w:rPr>
          <w:t>stronie internetowej kampanii</w:t>
        </w:r>
      </w:hyperlink>
      <w:r w:rsidRPr="00A931AD">
        <w:rPr>
          <w:rFonts w:ascii="Arial" w:eastAsia="Arial" w:hAnsi="Arial" w:cs="Arial"/>
          <w:sz w:val="22"/>
          <w:szCs w:val="22"/>
        </w:rPr>
        <w:t xml:space="preserve"> oraz w </w:t>
      </w:r>
      <w:hyperlink r:id="rId8">
        <w:r w:rsidRPr="00A931AD">
          <w:rPr>
            <w:rFonts w:ascii="Arial" w:eastAsia="Arial" w:hAnsi="Arial" w:cs="Arial"/>
            <w:color w:val="467886"/>
            <w:sz w:val="22"/>
            <w:szCs w:val="22"/>
            <w:u w:val="single"/>
          </w:rPr>
          <w:t>mediach społecznościowych Towarzystwa Przyjaciół Dzieci Zarząd Główny.</w:t>
        </w:r>
      </w:hyperlink>
      <w:bookmarkEnd w:id="0"/>
    </w:p>
    <w:sectPr w:rsidR="002945AC" w:rsidRPr="00A931AD" w:rsidSect="002945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57" w:right="1417" w:bottom="1417" w:left="1417" w:header="708" w:footer="2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1DC7C" w14:textId="77777777" w:rsidR="007114D3" w:rsidRDefault="007114D3">
      <w:r>
        <w:separator/>
      </w:r>
    </w:p>
  </w:endnote>
  <w:endnote w:type="continuationSeparator" w:id="0">
    <w:p w14:paraId="3F7CEA7B" w14:textId="77777777" w:rsidR="007114D3" w:rsidRDefault="0071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3B946" w14:textId="77777777" w:rsidR="00387E0B" w:rsidRDefault="00387E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5FF9F" w14:textId="77777777" w:rsidR="00387E0B" w:rsidRDefault="00000000"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4860D3A0" wp14:editId="45A3762B">
              <wp:simplePos x="0" y="0"/>
              <wp:positionH relativeFrom="column">
                <wp:posOffset>-76199</wp:posOffset>
              </wp:positionH>
              <wp:positionV relativeFrom="paragraph">
                <wp:posOffset>177800</wp:posOffset>
              </wp:positionV>
              <wp:extent cx="5899150" cy="541655"/>
              <wp:effectExtent l="0" t="0" r="0" b="0"/>
              <wp:wrapNone/>
              <wp:docPr id="203105461" name="Rectangle 2031054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01188" y="3513935"/>
                        <a:ext cx="588962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FD921" w14:textId="77777777" w:rsidR="00387E0B" w:rsidRDefault="00387E0B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60D3A0" id="Rectangle 203105461" o:spid="_x0000_s1026" style="position:absolute;margin-left:-6pt;margin-top:14pt;width:464.5pt;height:42.6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" filled="f" stroked="f">
              <v:textbox inset="2.53958mm,1.2694mm,2.53958mm,1.2694mm">
                <w:txbxContent>
                  <w:p w14:paraId="602FD921" w14:textId="77777777" w:rsidR="00387E0B" w:rsidRDefault="00387E0B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hidden="0" allowOverlap="1" wp14:anchorId="2AF92FAE" wp14:editId="34A6FACE">
          <wp:simplePos x="0" y="0"/>
          <wp:positionH relativeFrom="column">
            <wp:posOffset>4445</wp:posOffset>
          </wp:positionH>
          <wp:positionV relativeFrom="paragraph">
            <wp:posOffset>144145</wp:posOffset>
          </wp:positionV>
          <wp:extent cx="5713095" cy="46990"/>
          <wp:effectExtent l="0" t="0" r="0" b="0"/>
          <wp:wrapNone/>
          <wp:docPr id="20310546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3095" cy="46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AC56BE" w14:textId="77777777" w:rsidR="00387E0B" w:rsidRDefault="00387E0B"/>
  <w:p w14:paraId="2B88AB04" w14:textId="77777777" w:rsidR="00387E0B" w:rsidRDefault="00387E0B"/>
  <w:p w14:paraId="351572D3" w14:textId="77777777" w:rsidR="00387E0B" w:rsidRDefault="00387E0B"/>
  <w:sdt>
    <w:sdtPr>
      <w:tag w:val="goog_rdk_78"/>
      <w:id w:val="293254974"/>
    </w:sdtPr>
    <w:sdtContent>
      <w:p w14:paraId="12E2CF3D" w14:textId="77777777" w:rsidR="00387E0B" w:rsidRDefault="00000000" w:rsidP="004037AE">
        <w:pPr>
          <w:spacing w:before="120" w:after="120" w:line="276" w:lineRule="auto"/>
          <w:jc w:val="both"/>
        </w:pPr>
        <w:sdt>
          <w:sdtPr>
            <w:tag w:val="goog_rdk_77"/>
            <w:id w:val="-2031246829"/>
            <w:showingPlcHdr/>
          </w:sdtPr>
          <w:sdtContent>
            <w:r>
              <w:t xml:space="preserve">    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7B3BD" w14:textId="77777777" w:rsidR="00387E0B" w:rsidRDefault="00387E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B7B94" w14:textId="77777777" w:rsidR="007114D3" w:rsidRDefault="007114D3">
      <w:r>
        <w:separator/>
      </w:r>
    </w:p>
  </w:footnote>
  <w:footnote w:type="continuationSeparator" w:id="0">
    <w:p w14:paraId="75B4AC73" w14:textId="77777777" w:rsidR="007114D3" w:rsidRDefault="00711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1C5C" w14:textId="77777777" w:rsidR="00387E0B" w:rsidRDefault="00387E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4B30" w14:textId="77777777" w:rsidR="00387E0B" w:rsidRDefault="00000000">
    <w:pPr>
      <w:jc w:val="right"/>
      <w:rPr>
        <w:rFonts w:ascii="Helvetica Neue" w:eastAsia="Helvetica Neue" w:hAnsi="Helvetica Neue" w:cs="Helvetica Neue"/>
        <w:color w:val="7F7F7F"/>
        <w:sz w:val="20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FA29EDA" wp14:editId="7CB50A80">
          <wp:simplePos x="0" y="0"/>
          <wp:positionH relativeFrom="column">
            <wp:posOffset>-36194</wp:posOffset>
          </wp:positionH>
          <wp:positionV relativeFrom="paragraph">
            <wp:posOffset>9525</wp:posOffset>
          </wp:positionV>
          <wp:extent cx="2919730" cy="680085"/>
          <wp:effectExtent l="0" t="0" r="0" b="0"/>
          <wp:wrapNone/>
          <wp:docPr id="20310546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973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615332" w14:textId="77777777" w:rsidR="00387E0B" w:rsidRDefault="00387E0B">
    <w:pPr>
      <w:jc w:val="right"/>
      <w:rPr>
        <w:rFonts w:ascii="Helvetica Neue" w:eastAsia="Helvetica Neue" w:hAnsi="Helvetica Neue" w:cs="Helvetica Neue"/>
        <w:color w:val="7F7F7F"/>
        <w:sz w:val="20"/>
        <w:szCs w:val="20"/>
      </w:rPr>
    </w:pPr>
    <w:bookmarkStart w:id="1" w:name="_Hlk182839646"/>
  </w:p>
  <w:p w14:paraId="6AC16839" w14:textId="77777777" w:rsidR="00387E0B" w:rsidRDefault="00000000">
    <w:pPr>
      <w:jc w:val="right"/>
      <w:rPr>
        <w:rFonts w:ascii="Helvetica Neue" w:eastAsia="Helvetica Neue" w:hAnsi="Helvetica Neue" w:cs="Helvetica Neue"/>
        <w:color w:val="7F7F7F"/>
        <w:sz w:val="20"/>
        <w:szCs w:val="20"/>
      </w:rPr>
    </w:pPr>
    <w:r>
      <w:rPr>
        <w:rFonts w:ascii="Helvetica Neue" w:eastAsia="Helvetica Neue" w:hAnsi="Helvetica Neue" w:cs="Helvetica Neue"/>
        <w:color w:val="7F7F7F"/>
        <w:sz w:val="20"/>
        <w:szCs w:val="20"/>
      </w:rPr>
      <w:t>INFORMACJA PRASOWA</w:t>
    </w:r>
  </w:p>
  <w:bookmarkEnd w:id="1"/>
  <w:p w14:paraId="18C8425B" w14:textId="77777777" w:rsidR="00387E0B" w:rsidRDefault="00387E0B">
    <w:pPr>
      <w:jc w:val="right"/>
      <w:rPr>
        <w:rFonts w:ascii="Helvetica Neue" w:eastAsia="Helvetica Neue" w:hAnsi="Helvetica Neue" w:cs="Helvetica Neue"/>
        <w:color w:val="7F7F7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119E7" w14:textId="77777777" w:rsidR="00387E0B" w:rsidRDefault="00387E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44C4D"/>
    <w:multiLevelType w:val="multilevel"/>
    <w:tmpl w:val="CD0CFE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2D3D10"/>
    <w:multiLevelType w:val="hybridMultilevel"/>
    <w:tmpl w:val="818C3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058075">
    <w:abstractNumId w:val="0"/>
  </w:num>
  <w:num w:numId="2" w16cid:durableId="1960185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AC"/>
    <w:rsid w:val="00122D10"/>
    <w:rsid w:val="002945AC"/>
    <w:rsid w:val="00387E0B"/>
    <w:rsid w:val="0042562F"/>
    <w:rsid w:val="007114D3"/>
    <w:rsid w:val="007F6676"/>
    <w:rsid w:val="008D7DC3"/>
    <w:rsid w:val="00A931AD"/>
    <w:rsid w:val="00BB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9559"/>
  <w15:chartTrackingRefBased/>
  <w15:docId w15:val="{D2C4987F-1384-4BC9-A6A2-9A7C489F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5AC"/>
    <w:pPr>
      <w:suppressAutoHyphens/>
      <w:spacing w:after="0" w:line="240" w:lineRule="auto"/>
    </w:pPr>
    <w:rPr>
      <w:rFonts w:ascii="Aptos" w:eastAsia="Aptos" w:hAnsi="Aptos" w:cs="Aptos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4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4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4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4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4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45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45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45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45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4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4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45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45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45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45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45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45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45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4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4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4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4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45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45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45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5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45A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945A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PDZ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iemcorobic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968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Toczyska</dc:creator>
  <cp:keywords/>
  <dc:description/>
  <cp:lastModifiedBy>Katarzyna Toczyska</cp:lastModifiedBy>
  <cp:revision>2</cp:revision>
  <dcterms:created xsi:type="dcterms:W3CDTF">2024-11-19T08:36:00Z</dcterms:created>
  <dcterms:modified xsi:type="dcterms:W3CDTF">2024-11-19T08:36:00Z</dcterms:modified>
</cp:coreProperties>
</file>